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D31" w:rsidRDefault="00677687" w:rsidP="00480D31">
      <w:pPr>
        <w:tabs>
          <w:tab w:val="left" w:pos="284"/>
        </w:tabs>
      </w:pPr>
      <w:r>
        <w:t>NEOEH</w:t>
      </w:r>
      <w:bookmarkStart w:id="0" w:name="_GoBack"/>
      <w:bookmarkEnd w:id="0"/>
      <w:r>
        <w:t>S Registration</w:t>
      </w:r>
      <w:r w:rsidR="00480D31">
        <w:t xml:space="preserve"> Category</w:t>
      </w:r>
    </w:p>
    <w:p w:rsidR="00480D31" w:rsidRDefault="00677687" w:rsidP="00480D31">
      <w:pPr>
        <w:tabs>
          <w:tab w:val="left" w:pos="284"/>
        </w:tabs>
      </w:pPr>
      <w:r>
        <w:t xml:space="preserve">The following are the NEOEHS registration category for the Free APP usage: </w:t>
      </w:r>
    </w:p>
    <w:p w:rsidR="00480D31" w:rsidRDefault="00480D31" w:rsidP="00480D31">
      <w:pPr>
        <w:pStyle w:val="ListParagraph"/>
        <w:numPr>
          <w:ilvl w:val="0"/>
          <w:numId w:val="1"/>
        </w:numPr>
        <w:tabs>
          <w:tab w:val="left" w:pos="284"/>
        </w:tabs>
      </w:pPr>
      <w:r>
        <w:t xml:space="preserve">Generalist </w:t>
      </w:r>
    </w:p>
    <w:p w:rsidR="00070CDD" w:rsidRDefault="00677687" w:rsidP="00070CDD">
      <w:pPr>
        <w:tabs>
          <w:tab w:val="left" w:pos="284"/>
        </w:tabs>
        <w:ind w:left="720"/>
      </w:pPr>
      <w:r>
        <w:t>An OSH practitioner who is competent to undertake a range of general occupational safety and health as they relate to the safety and health management systems and the predefined Fields of Work. Examples of an OSH Generalist may include, but not limited to, an OSH Director, OSH Manager or OSH</w:t>
      </w:r>
      <w:r>
        <w:rPr>
          <w:spacing w:val="-3"/>
        </w:rPr>
        <w:t xml:space="preserve"> </w:t>
      </w:r>
      <w:r>
        <w:t>Officer</w:t>
      </w:r>
    </w:p>
    <w:p w:rsidR="00480D31" w:rsidRDefault="00480D31" w:rsidP="00480D31">
      <w:pPr>
        <w:pStyle w:val="ListParagraph"/>
        <w:numPr>
          <w:ilvl w:val="0"/>
          <w:numId w:val="1"/>
        </w:numPr>
        <w:tabs>
          <w:tab w:val="left" w:pos="284"/>
        </w:tabs>
      </w:pPr>
      <w:r>
        <w:t xml:space="preserve">Auditor </w:t>
      </w:r>
      <w:r w:rsidR="00677687">
        <w:t>:</w:t>
      </w:r>
    </w:p>
    <w:p w:rsidR="00677687" w:rsidRDefault="00677687" w:rsidP="00677687">
      <w:pPr>
        <w:pStyle w:val="ListParagraph"/>
      </w:pPr>
    </w:p>
    <w:p w:rsidR="00677687" w:rsidRDefault="00677687" w:rsidP="00677687">
      <w:pPr>
        <w:pStyle w:val="ListParagraph"/>
        <w:tabs>
          <w:tab w:val="left" w:pos="284"/>
        </w:tabs>
      </w:pPr>
      <w:r>
        <w:t>An auditor who is certified to an international standard and/or has demonstrable auditing experience and qualifications in conducting OSH</w:t>
      </w:r>
      <w:r>
        <w:rPr>
          <w:spacing w:val="-4"/>
        </w:rPr>
        <w:t xml:space="preserve"> </w:t>
      </w:r>
      <w:r>
        <w:t>audits</w:t>
      </w:r>
    </w:p>
    <w:p w:rsidR="00677687" w:rsidRDefault="00677687" w:rsidP="00677687">
      <w:pPr>
        <w:pStyle w:val="ListParagraph"/>
        <w:tabs>
          <w:tab w:val="left" w:pos="284"/>
        </w:tabs>
      </w:pPr>
    </w:p>
    <w:p w:rsidR="00480D31" w:rsidRDefault="00480D31" w:rsidP="00480D31">
      <w:pPr>
        <w:pStyle w:val="ListParagraph"/>
        <w:numPr>
          <w:ilvl w:val="1"/>
          <w:numId w:val="1"/>
        </w:numPr>
        <w:tabs>
          <w:tab w:val="left" w:pos="284"/>
        </w:tabs>
      </w:pPr>
      <w:r>
        <w:t xml:space="preserve">Lead </w:t>
      </w:r>
    </w:p>
    <w:p w:rsidR="00480D31" w:rsidRDefault="00480D31" w:rsidP="00480D31">
      <w:pPr>
        <w:pStyle w:val="ListParagraph"/>
        <w:numPr>
          <w:ilvl w:val="1"/>
          <w:numId w:val="1"/>
        </w:numPr>
        <w:tabs>
          <w:tab w:val="left" w:pos="284"/>
        </w:tabs>
      </w:pPr>
      <w:r>
        <w:t>Certified</w:t>
      </w:r>
    </w:p>
    <w:p w:rsidR="00480D31" w:rsidRDefault="00480D31" w:rsidP="00480D31">
      <w:pPr>
        <w:pStyle w:val="ListParagraph"/>
        <w:numPr>
          <w:ilvl w:val="1"/>
          <w:numId w:val="1"/>
        </w:numPr>
        <w:tabs>
          <w:tab w:val="left" w:pos="284"/>
        </w:tabs>
      </w:pPr>
      <w:r>
        <w:t>Professional</w:t>
      </w:r>
    </w:p>
    <w:p w:rsidR="00677687" w:rsidRDefault="00677687" w:rsidP="00677687">
      <w:pPr>
        <w:pStyle w:val="ListParagraph"/>
        <w:tabs>
          <w:tab w:val="left" w:pos="284"/>
        </w:tabs>
        <w:ind w:left="1440"/>
      </w:pPr>
    </w:p>
    <w:p w:rsidR="00480D31" w:rsidRDefault="00480D31" w:rsidP="00480D31">
      <w:pPr>
        <w:pStyle w:val="ListParagraph"/>
        <w:numPr>
          <w:ilvl w:val="0"/>
          <w:numId w:val="1"/>
        </w:numPr>
        <w:tabs>
          <w:tab w:val="left" w:pos="284"/>
        </w:tabs>
      </w:pPr>
      <w:r>
        <w:t xml:space="preserve">Registered </w:t>
      </w:r>
      <w:r w:rsidR="00834EFE">
        <w:t>Competent Personal</w:t>
      </w:r>
      <w:r>
        <w:t xml:space="preserve"> </w:t>
      </w:r>
      <w:r w:rsidR="00677687">
        <w:t xml:space="preserve">: </w:t>
      </w:r>
    </w:p>
    <w:p w:rsidR="00677687" w:rsidRPr="00677687" w:rsidRDefault="00677687" w:rsidP="00677687">
      <w:pPr>
        <w:ind w:left="709"/>
      </w:pPr>
      <w:r w:rsidRPr="00677687">
        <w:t>An OSH Practitioner who is competent to undertake specific technical activities as they relate to safety and health management systems. Examples of an OSH Technical Specialist may include, but not limited to, a Crane Operator, Scaffold Erector and Asbestos Management Specialist.</w:t>
      </w:r>
    </w:p>
    <w:p w:rsidR="00070CDD" w:rsidRDefault="00834EFE" w:rsidP="00070CDD">
      <w:pPr>
        <w:pStyle w:val="ListParagraph"/>
        <w:tabs>
          <w:tab w:val="left" w:pos="284"/>
        </w:tabs>
      </w:pPr>
      <w:r>
        <w:t>These are the categories provided under DOSH</w:t>
      </w:r>
      <w:r w:rsidR="00677687">
        <w:t xml:space="preserve"> in Malaysia </w:t>
      </w:r>
    </w:p>
    <w:tbl>
      <w:tblPr>
        <w:tblStyle w:val="TableGrid"/>
        <w:tblW w:w="8612" w:type="dxa"/>
        <w:tblInd w:w="704" w:type="dxa"/>
        <w:tblLook w:val="06A0" w:firstRow="1" w:lastRow="0" w:firstColumn="1" w:lastColumn="0" w:noHBand="1" w:noVBand="1"/>
      </w:tblPr>
      <w:tblGrid>
        <w:gridCol w:w="567"/>
        <w:gridCol w:w="4246"/>
        <w:gridCol w:w="3799"/>
      </w:tblGrid>
      <w:tr w:rsidR="00834EFE" w:rsidRPr="00834EFE" w:rsidTr="00834EFE">
        <w:trPr>
          <w:trHeight w:val="414"/>
        </w:trPr>
        <w:tc>
          <w:tcPr>
            <w:tcW w:w="567" w:type="dxa"/>
          </w:tcPr>
          <w:p w:rsidR="00834EFE" w:rsidRPr="00834EFE" w:rsidRDefault="00834EFE" w:rsidP="00834EFE">
            <w:pPr>
              <w:rPr>
                <w:rFonts w:ascii="Calibri" w:eastAsia="Calibri" w:hAnsi="Calibri" w:cs="Times New Roman"/>
                <w:b/>
                <w:bCs/>
                <w:color w:val="1F497D"/>
              </w:rPr>
            </w:pPr>
            <w:r w:rsidRPr="00834EFE">
              <w:rPr>
                <w:rFonts w:ascii="Calibri" w:eastAsia="Calibri" w:hAnsi="Calibri" w:cs="Times New Roman"/>
                <w:b/>
                <w:bCs/>
                <w:color w:val="1F497D"/>
              </w:rPr>
              <w:t xml:space="preserve">SR. </w:t>
            </w:r>
          </w:p>
        </w:tc>
        <w:tc>
          <w:tcPr>
            <w:tcW w:w="4246" w:type="dxa"/>
          </w:tcPr>
          <w:p w:rsidR="00834EFE" w:rsidRPr="00070CDD" w:rsidRDefault="00834EFE" w:rsidP="00070CDD">
            <w:pPr>
              <w:rPr>
                <w:rFonts w:ascii="Calibri" w:eastAsia="Calibri" w:hAnsi="Calibri" w:cs="Times New Roman"/>
                <w:b/>
                <w:bCs/>
                <w:color w:val="1F497D"/>
              </w:rPr>
            </w:pPr>
            <w:r w:rsidRPr="00834EFE">
              <w:rPr>
                <w:rFonts w:ascii="Calibri" w:eastAsia="Calibri" w:hAnsi="Calibri" w:cs="Times New Roman"/>
                <w:b/>
                <w:bCs/>
                <w:color w:val="1F497D"/>
              </w:rPr>
              <w:t>Competency</w:t>
            </w:r>
          </w:p>
        </w:tc>
        <w:tc>
          <w:tcPr>
            <w:tcW w:w="3799" w:type="dxa"/>
          </w:tcPr>
          <w:p w:rsidR="00834EFE" w:rsidRPr="00070CDD" w:rsidRDefault="00834EFE" w:rsidP="00070CDD">
            <w:pPr>
              <w:rPr>
                <w:rFonts w:ascii="Calibri" w:eastAsia="Calibri" w:hAnsi="Calibri" w:cs="Times New Roman"/>
                <w:b/>
                <w:bCs/>
                <w:color w:val="1F497D"/>
              </w:rPr>
            </w:pPr>
            <w:r w:rsidRPr="00834EFE">
              <w:rPr>
                <w:rFonts w:ascii="Calibri" w:eastAsia="Calibri" w:hAnsi="Calibri" w:cs="Times New Roman"/>
                <w:b/>
                <w:bCs/>
                <w:color w:val="1F497D"/>
              </w:rPr>
              <w:t xml:space="preserve">Job Description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070CDD" w:rsidRDefault="00834EFE" w:rsidP="00834EFE">
            <w:pPr>
              <w:rPr>
                <w:rFonts w:ascii="Calibri" w:eastAsia="Calibri" w:hAnsi="Calibri" w:cs="Times New Roman"/>
                <w:color w:val="1F497D"/>
              </w:rPr>
            </w:pPr>
            <w:r w:rsidRPr="00834EFE">
              <w:rPr>
                <w:rFonts w:ascii="Calibri" w:eastAsia="Calibri" w:hAnsi="Calibri" w:cs="Times New Roman"/>
                <w:color w:val="1F497D"/>
              </w:rPr>
              <w:t>S</w:t>
            </w:r>
            <w:r w:rsidRPr="00070CDD">
              <w:rPr>
                <w:rFonts w:ascii="Calibri" w:eastAsia="Calibri" w:hAnsi="Calibri" w:cs="Times New Roman"/>
                <w:color w:val="1F497D"/>
              </w:rPr>
              <w:t xml:space="preserve">afety and Health Officer </w:t>
            </w:r>
          </w:p>
        </w:tc>
        <w:tc>
          <w:tcPr>
            <w:tcW w:w="3799" w:type="dxa"/>
          </w:tcPr>
          <w:p w:rsidR="00834EFE" w:rsidRPr="00070CDD"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Ensure OSH laws compliance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Major Hazard Competent Person </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Prepare Safety Report</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Lift Competent Person </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Inspection and maintenance of lift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Steam Engineer </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In charge boiler operation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Internal Combustion Engine Engineer</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In charge ICE operation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Steam Driver(Boiler man)</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Operate boiler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Internal Combustion Engine Driver </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Operate ICE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Site Safety Supervisor</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Conduct Worksite inspection and</w:t>
            </w:r>
            <w:r w:rsidRPr="00834EFE">
              <w:rPr>
                <w:rFonts w:ascii="Calibri" w:eastAsia="Calibri" w:hAnsi="Calibri" w:cs="Times New Roman"/>
                <w:color w:val="1F497D"/>
              </w:rPr>
              <w:t xml:space="preserve"> </w:t>
            </w:r>
            <w:r w:rsidRPr="00070CDD">
              <w:rPr>
                <w:rFonts w:ascii="Calibri" w:eastAsia="Calibri" w:hAnsi="Calibri" w:cs="Times New Roman"/>
                <w:color w:val="1F497D"/>
              </w:rPr>
              <w:t xml:space="preserve">OSH awareness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Scaffolder </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Erect, inspect and dismantle scaffold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Pr>
                <w:rFonts w:ascii="Calibri" w:eastAsia="Calibri" w:hAnsi="Calibri" w:cs="Times New Roman"/>
                <w:color w:val="1F497D"/>
              </w:rPr>
              <w:t>Crane Operator</w:t>
            </w:r>
          </w:p>
        </w:tc>
        <w:tc>
          <w:tcPr>
            <w:tcW w:w="3799" w:type="dxa"/>
          </w:tcPr>
          <w:p w:rsidR="00834EFE" w:rsidRPr="00834EFE" w:rsidRDefault="00834EFE" w:rsidP="00834EFE">
            <w:pPr>
              <w:rPr>
                <w:rFonts w:ascii="Calibri" w:eastAsia="Calibri" w:hAnsi="Calibri" w:cs="Times New Roman"/>
                <w:color w:val="1F497D"/>
              </w:rPr>
            </w:pPr>
            <w:r>
              <w:rPr>
                <w:rFonts w:ascii="Calibri" w:eastAsia="Calibri" w:hAnsi="Calibri" w:cs="Times New Roman"/>
                <w:color w:val="1F497D"/>
              </w:rPr>
              <w:t>Operate crane</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Designated person (Hoisting machine) </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Supervise erection, maintenance and dismantling of hoisting machine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Occupation Health Doctor</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Medical inspection and surveillance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Hygiene Technician 1 </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Chemical monitoring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Hygiene Technician 2 </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LEV inspection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Authorized Gas tester</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Gas measurement and testing in confined space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IAQ Assessor </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IAQ assessment </w:t>
            </w:r>
          </w:p>
        </w:tc>
      </w:tr>
      <w:tr w:rsidR="00834EFE" w:rsidRPr="00070CDD" w:rsidTr="00834EFE">
        <w:trPr>
          <w:trHeight w:val="414"/>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Entrance supervisor </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Supervise working in confines space </w:t>
            </w:r>
          </w:p>
        </w:tc>
      </w:tr>
      <w:tr w:rsidR="00834EFE" w:rsidRPr="00070CDD" w:rsidTr="00834EFE">
        <w:trPr>
          <w:trHeight w:val="422"/>
        </w:trPr>
        <w:tc>
          <w:tcPr>
            <w:tcW w:w="567" w:type="dxa"/>
          </w:tcPr>
          <w:p w:rsidR="00834EFE" w:rsidRPr="00834EFE" w:rsidRDefault="00834EFE" w:rsidP="00834EFE">
            <w:pPr>
              <w:pStyle w:val="ListParagraph"/>
              <w:numPr>
                <w:ilvl w:val="0"/>
                <w:numId w:val="3"/>
              </w:numPr>
              <w:ind w:left="317" w:hanging="283"/>
              <w:rPr>
                <w:rFonts w:ascii="Calibri" w:eastAsia="Calibri" w:hAnsi="Calibri" w:cs="Times New Roman"/>
                <w:color w:val="1F497D"/>
                <w:sz w:val="20"/>
                <w:szCs w:val="20"/>
              </w:rPr>
            </w:pPr>
          </w:p>
        </w:tc>
        <w:tc>
          <w:tcPr>
            <w:tcW w:w="4246"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 xml:space="preserve">Chemical Assessor </w:t>
            </w:r>
          </w:p>
        </w:tc>
        <w:tc>
          <w:tcPr>
            <w:tcW w:w="3799" w:type="dxa"/>
          </w:tcPr>
          <w:p w:rsidR="00834EFE" w:rsidRPr="00834EFE" w:rsidRDefault="00834EFE" w:rsidP="00834EFE">
            <w:pPr>
              <w:rPr>
                <w:rFonts w:ascii="Calibri" w:eastAsia="Calibri" w:hAnsi="Calibri" w:cs="Times New Roman"/>
                <w:color w:val="1F497D"/>
              </w:rPr>
            </w:pPr>
            <w:r w:rsidRPr="00070CDD">
              <w:rPr>
                <w:rFonts w:ascii="Calibri" w:eastAsia="Calibri" w:hAnsi="Calibri" w:cs="Times New Roman"/>
                <w:color w:val="1F497D"/>
              </w:rPr>
              <w:t>Chemical health risk assessment</w:t>
            </w:r>
          </w:p>
        </w:tc>
      </w:tr>
    </w:tbl>
    <w:p w:rsidR="00C50CF2" w:rsidRDefault="00480D31" w:rsidP="00480D31">
      <w:pPr>
        <w:tabs>
          <w:tab w:val="left" w:pos="284"/>
        </w:tabs>
      </w:pPr>
      <w:r>
        <w:rPr>
          <w:noProof/>
          <w:lang w:eastAsia="en-GB"/>
        </w:rPr>
        <w:lastRenderedPageBreak/>
        <w:drawing>
          <wp:inline distT="0" distB="0" distL="0" distR="0" wp14:anchorId="01DAE70E" wp14:editId="45DEAE1F">
            <wp:extent cx="5731510" cy="4289696"/>
            <wp:effectExtent l="0" t="0" r="2540" b="0"/>
            <wp:docPr id="2" name="Picture 2" descr="cid:image004.jpg@01D42046.EF9B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42046.EF9B78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4289696"/>
                    </a:xfrm>
                    <a:prstGeom prst="rect">
                      <a:avLst/>
                    </a:prstGeom>
                    <a:noFill/>
                    <a:ln>
                      <a:noFill/>
                    </a:ln>
                  </pic:spPr>
                </pic:pic>
              </a:graphicData>
            </a:graphic>
          </wp:inline>
        </w:drawing>
      </w:r>
      <w:r>
        <w:rPr>
          <w:noProof/>
          <w:lang w:eastAsia="en-GB"/>
        </w:rPr>
        <w:drawing>
          <wp:inline distT="0" distB="0" distL="0" distR="0" wp14:anchorId="65A38514" wp14:editId="4D354DEB">
            <wp:extent cx="5731510" cy="4283613"/>
            <wp:effectExtent l="0" t="0" r="2540" b="3175"/>
            <wp:docPr id="1" name="Picture 1" descr="cid:image002.jpg@01D42046.EF9B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2046.EF9B78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4283613"/>
                    </a:xfrm>
                    <a:prstGeom prst="rect">
                      <a:avLst/>
                    </a:prstGeom>
                    <a:noFill/>
                    <a:ln>
                      <a:noFill/>
                    </a:ln>
                  </pic:spPr>
                </pic:pic>
              </a:graphicData>
            </a:graphic>
          </wp:inline>
        </w:drawing>
      </w:r>
    </w:p>
    <w:sectPr w:rsidR="00C50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95178"/>
    <w:multiLevelType w:val="hybridMultilevel"/>
    <w:tmpl w:val="45A065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5B6A4B"/>
    <w:multiLevelType w:val="hybridMultilevel"/>
    <w:tmpl w:val="2402E54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7759DC"/>
    <w:multiLevelType w:val="hybridMultilevel"/>
    <w:tmpl w:val="3C28556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31"/>
    <w:rsid w:val="00070CDD"/>
    <w:rsid w:val="00480D31"/>
    <w:rsid w:val="00677687"/>
    <w:rsid w:val="00834EFE"/>
    <w:rsid w:val="00C82330"/>
    <w:rsid w:val="00E6375F"/>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4ABF9-FFFB-4D66-A71B-21AAA68E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ml-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D31"/>
    <w:pPr>
      <w:ind w:left="720"/>
      <w:contextualSpacing/>
    </w:pPr>
  </w:style>
  <w:style w:type="table" w:styleId="TableGrid">
    <w:name w:val="Table Grid"/>
    <w:basedOn w:val="TableNormal"/>
    <w:uiPriority w:val="39"/>
    <w:rsid w:val="00070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1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42046.EF9B781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jpg@01D42046.EF9B781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Krishnakumar</dc:creator>
  <cp:keywords/>
  <dc:description/>
  <cp:lastModifiedBy>Krishnakumar</cp:lastModifiedBy>
  <cp:revision>1</cp:revision>
  <dcterms:created xsi:type="dcterms:W3CDTF">2018-07-20T09:38:00Z</dcterms:created>
  <dcterms:modified xsi:type="dcterms:W3CDTF">2018-07-20T10:20:00Z</dcterms:modified>
</cp:coreProperties>
</file>